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Минстроя России от 07.09.2017 N 1202/пр</w:t>
              <w:br/>
              <w:t xml:space="preserve">(ред. от 20.12.2022)</w:t>
              <w:br/>
              <w:t xml:space="preserve">"Об утверждении методических рекомендаций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13.02.2023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7 сентября 2017 г. N 1202/пр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МЕТОДИЧЕСКИХ РЕКОМЕНДАЦИЙ</w:t>
      </w:r>
    </w:p>
    <w:p>
      <w:pPr>
        <w:pStyle w:val="2"/>
        <w:jc w:val="center"/>
      </w:pPr>
      <w:r>
        <w:rPr>
          <w:sz w:val="20"/>
        </w:rPr>
        <w:t xml:space="preserve">ПО ОПРЕДЕЛЕНИЮ РАЗМЕРА ПРЕДЕЛЬНОЙ СТОИМОСТИ УСЛУГ</w:t>
      </w:r>
    </w:p>
    <w:p>
      <w:pPr>
        <w:pStyle w:val="2"/>
        <w:jc w:val="center"/>
      </w:pPr>
      <w:r>
        <w:rPr>
          <w:sz w:val="20"/>
        </w:rPr>
        <w:t xml:space="preserve">И (ИЛИ) РАБОТ ПО КАПИТАЛЬНОМУ РЕМОНТУ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МНОГОКВАРТИРНЫХ ДОМАХ, В ТОМ ЧИСЛЕ ЯВЛЯЮЩИХСЯ</w:t>
      </w:r>
    </w:p>
    <w:p>
      <w:pPr>
        <w:pStyle w:val="2"/>
        <w:jc w:val="center"/>
      </w:pPr>
      <w:r>
        <w:rPr>
          <w:sz w:val="20"/>
        </w:rPr>
        <w:t xml:space="preserve">ОБЪЕКТАМИ КУЛЬТУРНОГО НАСЛЕДИЯ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строя России от 20.12.2022 N 1089/пр &quot;О внесении изменения в пункт 1.6 методических рекомендаций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, утвержденных приказом Министерства строительства и жилищно-коммунального хозяйства Российской Федерации от 7 сентября 2017 г. N 1202/пр&quot;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Минстроя России от 20.12.2022 N 1089/пр)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8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7 статьи 178</w:t>
        </w:r>
      </w:hyperlink>
      <w:r>
        <w:rPr>
          <w:sz w:val="20"/>
        </w:rPr>
        <w:t xml:space="preserve"> Жилищного кодекса Российской Федерации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методические </w:t>
      </w:r>
      <w:hyperlink w:history="0" w:anchor="P31" w:tooltip="МЕТОДИЧЕСКИЕ РЕКОМЕНДАЦИИ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наследия, согласно приложению к настоящему приказу.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Министра</w:t>
      </w:r>
    </w:p>
    <w:p>
      <w:pPr>
        <w:pStyle w:val="0"/>
        <w:jc w:val="right"/>
      </w:pPr>
      <w:r>
        <w:rPr>
          <w:sz w:val="20"/>
        </w:rPr>
        <w:t xml:space="preserve">Е.О.СИЭРРА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7 сентября 2017 г. N 1202/пр</w:t>
      </w:r>
    </w:p>
    <w:p>
      <w:pPr>
        <w:pStyle w:val="0"/>
        <w:jc w:val="both"/>
      </w:pPr>
      <w:r>
        <w:rPr>
          <w:sz w:val="20"/>
        </w:rPr>
      </w:r>
    </w:p>
    <w:bookmarkStart w:id="31" w:name="P31"/>
    <w:bookmarkEnd w:id="31"/>
    <w:p>
      <w:pPr>
        <w:pStyle w:val="2"/>
        <w:jc w:val="center"/>
      </w:pPr>
      <w:r>
        <w:rPr>
          <w:sz w:val="20"/>
        </w:rPr>
        <w:t xml:space="preserve">МЕТОДИЧЕСКИЕ РЕКОМЕНДАЦИИ</w:t>
      </w:r>
    </w:p>
    <w:p>
      <w:pPr>
        <w:pStyle w:val="2"/>
        <w:jc w:val="center"/>
      </w:pPr>
      <w:r>
        <w:rPr>
          <w:sz w:val="20"/>
        </w:rPr>
        <w:t xml:space="preserve">ПО ОПРЕДЕЛЕНИЮ РАЗМЕРА ПРЕДЕЛЬНОЙ СТОИМОСТИ УСЛУГ</w:t>
      </w:r>
    </w:p>
    <w:p>
      <w:pPr>
        <w:pStyle w:val="2"/>
        <w:jc w:val="center"/>
      </w:pPr>
      <w:r>
        <w:rPr>
          <w:sz w:val="20"/>
        </w:rPr>
        <w:t xml:space="preserve">И (ИЛИ) РАБОТ ПО КАПИТАЛЬНОМУ РЕМОНТУ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МНОГОКВАРТИРНЫХ ДОМАХ, В ТОМ ЧИСЛЕ ЯВЛЯЮЩИХСЯ</w:t>
      </w:r>
    </w:p>
    <w:p>
      <w:pPr>
        <w:pStyle w:val="2"/>
        <w:jc w:val="center"/>
      </w:pPr>
      <w:r>
        <w:rPr>
          <w:sz w:val="20"/>
        </w:rPr>
        <w:t xml:space="preserve">ОБЪЕКТАМИ КУЛЬТУРНОГО НАСЛЕДИЯ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9" w:tooltip="Приказ Минстроя России от 20.12.2022 N 1089/пр &quot;О внесении изменения в пункт 1.6 методических рекомендаций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, утвержденных приказом Министерства строительства и жилищно-коммунального хозяйства Российской Федерации от 7 сентября 2017 г. N 1202/пр&quot;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Минстроя России от 20.12.2022 N 1089/пр)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Настоящие Методические рекомендации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 (далее - Методические рекомендации), определяют рекомендуемый общий порядок определения размера предельной стоимости услуг и (или) работ по капитальному ремонту общего имущества в многоквартирных домах (далее - МКД),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 общего имущества в МКД.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Методические рекомендации разработаны в целях унификации и оптимизации деятельности органов государственной власти субъектов Российской Федерации по планированию реализации региональной программы капитального ремонта общего имущества МКД, в том числе являющихся объектами культурного наследия, на установленные периоды, а также при подготовке нормативных правовых актов в соответствии с </w:t>
      </w:r>
      <w:hyperlink w:history="0" r:id="rId10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4 статьи 190</w:t>
        </w:r>
      </w:hyperlink>
      <w:r>
        <w:rPr>
          <w:sz w:val="20"/>
        </w:rPr>
        <w:t xml:space="preserve"> Жилищного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Размер предельной стоимости услуг и (или) работ по капитальному ремонту общего имущества в МКД, в том числе являющихся объектами культурного наследия (далее - Размер предельной стоимости), установленный нормативным правовым актом субъекта Российской Федерации на конкретный календарный год, может учитываться: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определении минимального размера взноса на капитальный ремонт общего имущества в многоквартирном доме на соответствующий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при составлении проекта краткосрочного плана реализации региональной программы капитального ремонта общего имущества в МКД на соответствующий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При определении Размера предельной стоимости рекомендуется учитывать сметные нормативы, включенные в федеральный реестр сметных нормативов, в том числе методик, необходимых для определения сметной стоимости, методик применения сметных норм, государственных элементных сметных норм, устанавливаемых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нормирования и ценообразования при проектировании и строительстве.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Размеры предельных стоимостей по видам работ рекомендуется разрабатывать на основе принципов унификации принятой номенклатуры объектов капитального строительства, конструктивных элементов зданий и сооружений и комплексов выполняемых работ, принятых единиц измерения, с учетом трех основных факторов: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неизменный, нормативный перечень и нормы и нормативы расхода ресурсов в строительстве, установленные </w:t>
      </w:r>
      <w:hyperlink w:history="0" r:id="rId11" w:tooltip="&quot;СНиП 82-01-95. Разработка и применение норм и нормативов расхода материальных ресурсов в строительстве. Основные положения&quot; (утв. Постановлением Минстроя РФ от 20.06.1995 N 18-60) {КонсультантПлюс}">
        <w:r>
          <w:rPr>
            <w:sz w:val="20"/>
            <w:color w:val="0000ff"/>
          </w:rPr>
          <w:t xml:space="preserve">СНиП 82-01-95</w:t>
        </w:r>
      </w:hyperlink>
      <w:r>
        <w:rPr>
          <w:sz w:val="20"/>
        </w:rPr>
        <w:t xml:space="preserve"> "Разработка и применение норм и нормативов расходов материальных ресурсов в строительстве. Основные положения" в натуральных единицах измерения на выполнение каждого компонента из состава работ, суммирование которых дает расход ресурсов на выполнение одного вида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относительный, изменяемый во времени стоимостной показатель в текущем и прогнозном уровне цен (с учетом прогнозного индекса-дефлятора) по каждому из видов ресурсов, который определяется по исходным данным, указанным в </w:t>
      </w:r>
      <w:hyperlink w:history="0" w:anchor="P71" w:tooltip="3. ОПРЕДЕЛЕНИЕ РАЗМЕРА ПРЕДЕЛЬНОЙ СТОИМОСТИ">
        <w:r>
          <w:rPr>
            <w:sz w:val="20"/>
            <w:color w:val="0000ff"/>
          </w:rPr>
          <w:t xml:space="preserve">разделе 3</w:t>
        </w:r>
      </w:hyperlink>
      <w:r>
        <w:rPr>
          <w:sz w:val="20"/>
        </w:rPr>
        <w:t xml:space="preserve"> настоящих Методических рекомендаций;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практический, основанный на практике выполнения аналогичных видов услуг и работ на аналогичных (по типам) МКД за предшествующие один - три года с учетом индексов изменения стоимости услуг и работ в строительстве, а при их отсутствии - индексов потребительских цен.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работ по каждому виду и требования к расходу ресурсов рекомендуется использовать для определения технологии производства работ, обеспечивающей надлежащий уровень качества работ по капитальному ремонту общего имущества в МКД.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Применяемый в настоящих Методических рекомендациях подход рекомендуется использовать в качестве элемента управления стоимости и качества капитального ремонта в целом.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Размеры предельных стоимостей по видам работ рекомендуется разрабатывать с использованием методических рекомендаций по определению нормативным правовым актом субъекта Российской Федерации услуг и (или) работ, входящих в число услуг и (или) работ по капитальному ремонту общего имущества в многоквартирном доме, оказание и (или) выполнение которых финансируются за счет средств фонда капитального ремонта, который сформирован исходя из минимального размера взноса на капитальный ремонт, и которые включены в перечень, указанный в </w:t>
      </w:r>
      <w:hyperlink w:history="0" r:id="rId12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части 1 статьи 166</w:t>
        </w:r>
      </w:hyperlink>
      <w:r>
        <w:rPr>
          <w:sz w:val="20"/>
        </w:rPr>
        <w:t xml:space="preserve"> Жилищного кодекса Российской Федерации,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>
      <w:pPr>
        <w:pStyle w:val="0"/>
        <w:jc w:val="both"/>
      </w:pPr>
      <w:r>
        <w:rPr>
          <w:sz w:val="20"/>
        </w:rPr>
        <w:t xml:space="preserve">(п. 1.6 в ред. </w:t>
      </w:r>
      <w:hyperlink w:history="0" r:id="rId13" w:tooltip="Приказ Минстроя России от 20.12.2022 N 1089/пр &quot;О внесении изменения в пункт 1.6 методических рекомендаций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, утвержденных приказом Министерства строительства и жилищно-коммунального хозяйства Российской Федерации от 7 сентября 2017 г. N 1202/пр&quot; ------------ Не вступил в сил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Минстроя России от 20.12.2022 N 1089/пр)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ТЕРМИНЫ И ОПРЕДЕЛЕНИЯ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 использовании настоящих Методических рекомендаций рекомендуется руководствоваться следующими положениями: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объект-представитель - объект капитального строительства, максимально точно отражающий технологическую специфику капитального ремонта, характерную для данного типа объектов, и выбранный из числа аналогичных объектов по принципу наиболее полного соответствия техническим характеристикам и условиям его территориального размещения;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техническое состояние - совокупность подверженных изменению в процессе производства или эксплуатации свойств объекта, характеризуемая в определенный момент времени признаками, установленными технической документацией на этот объект;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капитальный ремонт - замена и (или) восстановление строительных конструкций объектов капитального строительства или элементов таких конструкций, в том числе несущих строительных конструкций,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энергетическая эффективность - характеристики, отражающие отношение полезного эффекта от использования энергетических ресурсов к затратам энергетических ресурсов, произведенным в целях получения такого эффекта, применительно к продукции, технологическому процессу;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затрат на капитальный ремонт - затраты на капитальный ремонт общего имущества МКД, сгруппированные по элементам и статьям. Под элементами затрат понимаются затраты, однородные по своему экономическому содержанию, а под статьями - затраты, включающие один или несколько элементов затрат;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виды работ - виды услуг и (или) работ по капитальному ремонту общего имущества в МКД, предусмотренные </w:t>
      </w:r>
      <w:hyperlink w:history="0" r:id="rId14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1 статьи 166</w:t>
        </w:r>
      </w:hyperlink>
      <w:r>
        <w:rPr>
          <w:sz w:val="20"/>
        </w:rPr>
        <w:t xml:space="preserve"> Жилищного кодекса Российской Федерации, а также виды услуг и (или) работ, установленные нормативным правовым актом субъекта Российской Федерации дополнительно (далее - Виды работ);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состав работ - перечень услуг и (или) работ по капитальному ремонту общего имущества в МКД, составляющих Вид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компонент - элемент, входящий в состав работ, принятый в соответствии с действующими нормами и нормативами по капитальному ремонту и государственными элементными сметными нормами (далее - ГЭСН);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ресурсный метод определения стоимости капитального ремонта - расчет в текущих (прогнозных) ценах и тарифах ресурсов (элементов затрат), необходимых для реализации капитального ремонта, на основе выраженных в натуральных измерителях потребности в материалах, изделиях и конструкциях, времени эксплуатации машин и их состава, затрат труда рабочих;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ресурсно-технологическая модель (РТМ) - унифицированный и агрегированный набор трудовых, технических и материальных ресурсов, сформированный на основе данных сметной документации по объектам представителям. Указанный набор ресурсов подлежит корректировке в случае изменения сметно-нормативной базы, санитарно-эпидемиологических требований, противопожарных норм, норм проектирования и иных обязательных требований, предъявляемых к данному типу зданий и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Иные термины и определения, используемые в настоящих Методических рекомендациях, рекомендуется применять в значении, определенном законодательством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bookmarkStart w:id="71" w:name="P71"/>
    <w:bookmarkEnd w:id="71"/>
    <w:p>
      <w:pPr>
        <w:pStyle w:val="2"/>
        <w:outlineLvl w:val="1"/>
        <w:jc w:val="center"/>
      </w:pPr>
      <w:r>
        <w:rPr>
          <w:sz w:val="20"/>
        </w:rPr>
        <w:t xml:space="preserve">3. ОПРЕДЕЛЕНИЕ РАЗМЕРА ПРЕДЕЛЬНОЙ СТОИМОСТИ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3.1. Исходные данные, используемые при определении Размера предельной стоимости работ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3.1.1. В качестве исходных данных при определении предельной стоимости работ могут использоваться: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типология МКД, расположенных на территории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видов услуг и (или) работ по капитальному ремонту общего имущества в МКД, установленный нормативным правовым актом субъекта Российской Федерации и перечень услуг и (или) работ по капитальному ремонту общего имущества в МКД, определенному </w:t>
      </w:r>
      <w:hyperlink w:history="0" r:id="rId15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статьей 166</w:t>
        </w:r>
      </w:hyperlink>
      <w:r>
        <w:rPr>
          <w:sz w:val="20"/>
        </w:rPr>
        <w:t xml:space="preserve"> Жилищного кодекса Российской Федерации (далее - виды работ);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техническая политика в отношении работ по капитальному ремонту общего имущества в МКД, принятая субъектом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перечень услуг и (или) работ по капитальному ремонту общего имущества в МКД, составляющих виды работ, установленный нормативным правовым актом субъекта Российской Федерации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Источниками информации по объекту-представителю могут быть технический паспорт МКД, результаты мониторинга технического состояния МКЖ, порядок проведения которого утверждается органами государственной власти субъекта Российской Федерации в соответствии с </w:t>
      </w:r>
      <w:hyperlink w:history="0" r:id="rId16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пунктом 2 части 1 статьи 167</w:t>
        </w:r>
      </w:hyperlink>
      <w:r>
        <w:rPr>
          <w:sz w:val="20"/>
        </w:rPr>
        <w:t xml:space="preserve"> Жилищного кодекса Российской Федерации, проектная документация на МКД и другие.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 основу типологии может быть принят период постройки, конструктивная схема, материал стен, конструкция и покрытие крыши, тип фундамента, отделка фасада, степень оснащенности инженерным оборудованием, этажность зданий либо иные критерии или их сочетания, характерные для объектов жилищного фонда конкретного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описание каждого из объектов-представителей рекомендуется включать визуальную информацию, которую можно легко получить и проанализировать при проведении натурных обследований объекта.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3.1.2 Для МКД, являющихся объектами культурного наследия, рекомендуется использовать отдельную типологию МКД, которую рекомендуется согласовать с региональным органом охраны объектов культурного наследия.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качестве основы рекомендуется использовать условную классификацию МКД, исходя из следующих категорий сложности: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МКД, используемые как жилые многоквартирные, построенные до середины XIX века. Каждый объект, соответствующий данной категории, рекомендуется рассматривать в индивидуальном порядке;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МКД, построенные по индивидуальному проекту с середины XIX века, характеризующиеся наличием сложного декора, выполненного с применением большого перечня материалов и технологий, наличием капитальных конструкций из дерева, возведенные без применения индустриальных методов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МКД, построенные по индивидуальному проекту с конца XIX века, характеризующиеся наличием сложного декора, выполненного с применением большого перечня материалов и технологий, возведенные без применения индустриальных методов строительства. К данной категории рекомендуется относить здания, построенные в стиле "неорусский стиль", "модерн", "эклектика";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МКД, построенные по индивидуальному или типовому проекту со второй трети XX века, характеризующиеся наличием сложного декора, возведенные с применением индустриальных методов строительства. К данной категории рекомендуется относить здания, построенные в стиле "сталинский ампир";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МКД, построенные по индивидуальному или типовому проекту с первой трети XX века, характеризующиеся отсутствием сложного декора, возведенные с применением индустриальных методов строительства. К данной категории рекомендуется относить здания, построенные в стиле "конструктивизм".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Пример выбора объектов-представителей, расположенных на территории субъекта Российской Федерации, приведен в </w:t>
      </w:r>
      <w:hyperlink w:history="0" w:anchor="P208" w:tooltip="ПРИМЕР">
        <w:r>
          <w:rPr>
            <w:sz w:val="20"/>
            <w:color w:val="0000ff"/>
          </w:rPr>
          <w:t xml:space="preserve">Приложении 1</w:t>
        </w:r>
      </w:hyperlink>
      <w:r>
        <w:rPr>
          <w:sz w:val="20"/>
        </w:rPr>
        <w:t xml:space="preserve"> к настоящим Методическим рекомендациям.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Размера предельной стоимости в случае выявления разницы значений менее 10 процентов для разных типов МКД рекомендуется для данных домов определить один тип и установить размер предельной стоимости по максимальному значению.</w:t>
      </w:r>
    </w:p>
    <w:p>
      <w:pPr>
        <w:pStyle w:val="0"/>
        <w:jc w:val="both"/>
      </w:pPr>
      <w:r>
        <w:rPr>
          <w:sz w:val="20"/>
        </w:rPr>
      </w:r>
    </w:p>
    <w:bookmarkStart w:id="92" w:name="P92"/>
    <w:bookmarkEnd w:id="92"/>
    <w:p>
      <w:pPr>
        <w:pStyle w:val="2"/>
        <w:outlineLvl w:val="2"/>
        <w:ind w:firstLine="540"/>
        <w:jc w:val="both"/>
      </w:pPr>
      <w:r>
        <w:rPr>
          <w:sz w:val="20"/>
        </w:rPr>
        <w:t xml:space="preserve">3.2. Перечень затрат, учитываемых при определении Размера предельной стоимости по виду работ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Сметную стоимость капитального ремонта МКД, осуществляемого полностью или частично за счет средств регионального оператора, товарищества собственников жилья, жилищного, жилищно-строительного кооператива или иного специализированного потребительского кооператива либо средств собственников помещений в МКД, рекомендуется определять с обязательным применением сметных нормативов, внесенных в федеральный реестр сметных нормативов, и сметных цен строительных ресурсов в соответствии со </w:t>
      </w:r>
      <w:hyperlink w:history="0" r:id="rId17" w:tooltip="&quot;Градостроительный кодекс Российской Федерации&quot; от 29.12.2004 N 190-ФЗ (ред. от 19.12.2022) (с изм. и доп., вступ. в силу с 03.02.2023) {КонсультантПлюс}">
        <w:r>
          <w:rPr>
            <w:sz w:val="20"/>
            <w:color w:val="0000ff"/>
          </w:rPr>
          <w:t xml:space="preserve">статьей 8.3</w:t>
        </w:r>
      </w:hyperlink>
      <w:r>
        <w:rPr>
          <w:sz w:val="20"/>
        </w:rPr>
        <w:t xml:space="preserve"> Градостроительного кодекса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Размеры предельной стоимости для каждого вида работ и по каждому объекту-представителю рекомендуется рассчитывать с учетом состава работ как совокупность формирующих состав работ Компонентов в стоимостном выражении на основании сметных нормативов, сведения о которых включены в федеральный реестр сметных нормативов.</w:t>
      </w:r>
    </w:p>
    <w:bookmarkStart w:id="95" w:name="P95"/>
    <w:bookmarkEnd w:id="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Стоимость Компонента может состоять из следующих элементов затрат: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сметная стоимость прямых затрат, в том числе сметная стоимость материалов, изделий, конструкций (далее - материальные ресурсы), сметная стоимость трудовых ресурсов, сметная стоимость эксплуатации машин и механизмов (далее - технические ресурсы);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накладные расходы;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сметная прибыль;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сметная стоимость инженерного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прочие и лимитированные затраты, необходимые для включения в сметную стоимость ремонтно-строительных работ объектов капитального строительства;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налог на добавленную стоимость (НДС).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Накладные расходы учитывают затраты подрядных организаций, связанные с созданием условий производства, организацией и управлением выполнения ремонтно-строительных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Сметная прибыль является нормативной частью стоимости строительной продукции и предназначена для покрытия отдельных (общих) расходов подрядных организаций на развитие производства, социальной сферы и материальное стимулирование и не относимых на себестоимость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прочим и лимитированным затратам рекомендуется относить: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затраты на строительство временных зданий и сооружений при производстве ремонтно-строительных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дополнительные затраты при производстве ремонтно-строительных работ в зимнее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затраты, связанные с оплатой услуг организаций, осуществляющих деятельность по сбору, накоплению, транспортированию, обработке, утилизации, обезвреживанию и размещению отходов производства и потребления (строительного мусора и материалов от разборки строений, сооружений, непригодных для дальнейшего использования);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затраты по перевозке автомобильным транспортом работников подрядных организаций до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затраты, связанные с командированием рабочих для выполнения ремонтно-строительных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затраты на проведение пусконаладочных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затраты на подготовку проектной или иной технической документации, включая сметную документацию;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затраты на проведение экспертизы проектной (в том числе сметной) документации;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затраты на осуществление строительного контроля;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иные прочие затраты, в том числе плата за подключение (технологическое присоединение) к сетям инженерно-технического обеспечения;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непредвиденные работы и затраты.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сметной стоимости ремонтно-строительных работ Компонента рекомендуется осуществлять с применением Государственных элементных сметных норм (далее - ГЭСН) и сметных цен строительных ресурсов, размещаемых в федеральной государственной информационной системы ценообразования в строительстве (далее - ФГИС ЦС).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размещение в ФГИС ЦС сметных цен строительных ресурсов, определенных в соответствии с </w:t>
      </w:r>
      <w:hyperlink w:history="0" r:id="rId18" w:tooltip="&quot;Градостроительный кодекс Российской Федерации&quot; от 29.12.2004 N 190-ФЗ (ред. от 19.12.2022) (с изм. и доп., вступ. в силу с 03.02.2023) {КонсультантПлюс}">
        <w:r>
          <w:rPr>
            <w:sz w:val="20"/>
            <w:color w:val="0000ff"/>
          </w:rPr>
          <w:t xml:space="preserve">частью 5 статьи 8.3</w:t>
        </w:r>
      </w:hyperlink>
      <w:r>
        <w:rPr>
          <w:sz w:val="20"/>
        </w:rPr>
        <w:t xml:space="preserve"> Градостроительного кодекса Российской Федерации, определение сметной стоимости ремонтно-строительных работ Компонента рекомендуется выполнять с применением федеральных единичных расценок (ФЕР-2001), Федерального сборника сметных цен на материалы, изделия и конструкции, применяемые в строительстве (ФССЦ-2001), Федеральных сметных расценок на эксплуатацию строительных машин и автотранспортных средств (ФСЭМ-2001) и Федеральных сметных цены на перевозки грузов для строительства (ФССЦпг-2001).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Одновременно со сметными нормами, сметными ценами и единичными расценками при определении сметной стоимости могут использоваться показатели, которые отражают среднеотраслевые, технологически и экономически обоснованные затраты, учитываемые в составе сметной стоимости капитального ремонта Компонента. Эти показатели рекомендуется приводить в относительных величинах в виде процентов и коэффициентов: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заготовительно-складские расходы;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накладные расходы;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сметная прибыль;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сметные нормы затрат на строительство титульных временных зданий и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сметные нормы дополнительных затрат при производстве работ в зимнее время;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отдельные виды прочих работ и затрат;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коэффициенты, учитывающие условия производства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коэффициенты, учитывающие усложняющие факторы;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коэффициенты, применяемые при расчете объемов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коэффициенты, учитывающие условия применения отдельных сметных норм (накладных расходов, сметной прибыли, сметных норм затрат на строительство временных зданий и сооружений, сметных норм дополнительных затрат при производстве работ в зимнее время и иного).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Структура и состав сборников сметных норм и единичных расценок приведены в соответствующих методических документах, сведения о которых содержатся в федеральном реестре сметных нормативов.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Для проверки и уточнения расчетов может использоваться средняя фактическая стоимость работ по аналогичному виду работ аналогичного объекта представителя.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Среднюю фактическую стоимость по виду рекомендуется вычислять исходя из фактической стоимости не менее 5 (пяти) объектов по каждому виду работ в разрезе каждого объекта-представителя, по формуле: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position w:val="-38"/>
        </w:rPr>
        <w:drawing>
          <wp:inline distT="0" distB="0" distL="0" distR="0">
            <wp:extent cx="2238375" cy="60960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, где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Сср - средняя фактическая стоимость работ по аналогичному виду работ аналогичного объекта-представителя;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С1 - фактическая стоимость работ первого аналогичного вида аналогичного объекта-представителя;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С2 - фактическая стоимость работ второго аналогичного вида аналогичного объекта-представителя;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Сn - фактическая стоимость работ следующего аналогичного вида аналогичного объекта-представителя;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 - единица измерения по виду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- количество аналогов;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 - индекс изменения стоимости услуг и работ в строительстве, а при их отсутствии - индексов потребительских цен.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3.3. Методика расчета одного Компонента, применяемого в определении Размера предельной стоимости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Методика расчета одного Компонента Размера предельной стоимости может базироваться на принципе унификации расчетов стоимости капитального ремонта ресурсным методом в целях возможности управления этой стоимостью в зависимости от фактического состояния объекта капитального ремонта, качества ремонтных работ, стоимостных показателей.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Основой для расчета является формирование ресурсно-технологических моделей (далее - РТМ) по каждому из Компонентов, входящих в состав Вида работ для каждого из объектов-представителей.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РТМ может представлять собой максимально унифицированный набор трудовых, технических и материальных ресурсов, необходимых для выполнения комплекса работ по капитальному ремонту конструктивного элемента МКД, по принятой технологии производства работ, приведенных к одной единице измерения.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В соответствии с действующими нормами и правилами ценообразования в строительстве при использовании ресурсного метода возможно использование локального сметного расчета.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первую очередь определяется вид работ в соответствии со сборником ГЭСН на основании состава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Пример формирования локального сметного расчета при определении предельной стоимости отдельного конструктивного элемента приведен в </w:t>
      </w:r>
      <w:hyperlink w:history="0" w:anchor="P258" w:tooltip="ПРИМЕР ФОРМИРОВАНИЯ ЛОКАЛЬНОГО СМЕТНОГО РАСЧЕТА">
        <w:r>
          <w:rPr>
            <w:sz w:val="20"/>
            <w:color w:val="0000ff"/>
          </w:rPr>
          <w:t xml:space="preserve">Приложении 2</w:t>
        </w:r>
      </w:hyperlink>
      <w:r>
        <w:rPr>
          <w:sz w:val="20"/>
        </w:rPr>
        <w:t xml:space="preserve"> к настоящим Методическим рекомендациям. При формировании каждого Компонента по ГЭСН (ГЭСНр) или другим действующим государственным элементным сметным нормам рекомендуется определять: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состав работ, соответствующий утвержденной технологической модели капитального ремонта (проектному решению);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нормативный расход всех ресурсов, расход материальных ресурсов в соответствующих натуральных показателях и единицах измерения. Все ресурсы рекомендуется приводить с кодами согласно действующей системе кодирования. При отсутствии присвоенных кодов материальным ресурсам, в обосновании рекомендуется указывать "Прайс-Лист" и наименование поставщика материального ресурса.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Поскольку в таблицах ГЭСН содержатся перечень материалов и нормы расхода в расчете на единичный объем работ, учитываемый в нормах, объем работ для формирования Компонента рекомендуется принимать по проекту либо по описи работ с приложением подсчета объемов работ.</w:t>
      </w:r>
    </w:p>
    <w:p>
      <w:pPr>
        <w:pStyle w:val="0"/>
        <w:jc w:val="both"/>
      </w:pPr>
      <w:r>
        <w:rPr>
          <w:sz w:val="20"/>
        </w:rPr>
      </w:r>
    </w:p>
    <w:bookmarkStart w:id="154" w:name="P154"/>
    <w:bookmarkEnd w:id="154"/>
    <w:p>
      <w:pPr>
        <w:pStyle w:val="2"/>
        <w:outlineLvl w:val="2"/>
        <w:ind w:firstLine="540"/>
        <w:jc w:val="both"/>
      </w:pPr>
      <w:r>
        <w:rPr>
          <w:sz w:val="20"/>
        </w:rPr>
        <w:t xml:space="preserve">3.4. Формирование и актуализация стоимостного блока для расчета одного элемента Размера предельной стоимости капитального ремонта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После определения перечня количественных значений потребности в материально-технических и трудовых ресурсах рекомендуется определить их стоимость в текущих ценах (текущая стоимость), а затем и в прогнозных ценах путем применения индекса-дефлятора на соответствующий период времени.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Размера предельной стоимости рекомендуется осуществлять ресурсным методом определения стоимости капитального ремонта в порядке, указанном в </w:t>
      </w:r>
      <w:hyperlink w:history="0" w:anchor="P92" w:tooltip="3.2. Перечень затрат, учитываемых при определении Размера предельной стоимости по виду работ">
        <w:r>
          <w:rPr>
            <w:sz w:val="20"/>
            <w:color w:val="0000ff"/>
          </w:rPr>
          <w:t xml:space="preserve">пункте 3.2</w:t>
        </w:r>
      </w:hyperlink>
      <w:r>
        <w:rPr>
          <w:sz w:val="20"/>
        </w:rPr>
        <w:t xml:space="preserve"> настоящих Методических рекомендаций.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Для определения текущей стоимости рекомендуется выполнять расчет отдельно для каждого элемента затрат: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стоимость трудозатрат рабочих-строителей (при необходимости - с учетом усложняющих факторов, влияющих на условия производства работ);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стоимость эксплуатации машин (при необходимости - с учетом усложняющих факторов, влияющих на условия производства работ);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стоимость материалов, изделий и конструкций.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всех вышеперечисленных ресурсов может быть определена путем умножения объема ресурса (количество трудозатрат рабочих-строителей, количество времени эксплуатации машин, количество материалов, изделий, конструкций) на его цену. Рекомендуется использовать источники получения исходных данных по цене ресурсов для проведения расчетов, указанных в </w:t>
      </w:r>
      <w:hyperlink w:history="0" w:anchor="P95" w:tooltip="3.2.3. Стоимость Компонента может состоять из следующих элементов затрат:">
        <w:r>
          <w:rPr>
            <w:sz w:val="20"/>
            <w:color w:val="0000ff"/>
          </w:rPr>
          <w:t xml:space="preserve">пункте 3.2.3</w:t>
        </w:r>
      </w:hyperlink>
      <w:r>
        <w:rPr>
          <w:sz w:val="20"/>
        </w:rPr>
        <w:t xml:space="preserve"> настоящих Методических рекомендаций. Полученные стоимости ресурсов рекомендуется складывать в сумму прямых затрат ремонтных работ.</w:t>
      </w:r>
    </w:p>
    <w:bookmarkStart w:id="162" w:name="P162"/>
    <w:bookmarkEnd w:id="16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К сумме прямых затрат рекомендуется производить начисление сметных нормативов, перечисленных в </w:t>
      </w:r>
      <w:hyperlink w:history="0" w:anchor="P95" w:tooltip="3.2.3. Стоимость Компонента может состоять из следующих элементов затрат:">
        <w:r>
          <w:rPr>
            <w:sz w:val="20"/>
            <w:color w:val="0000ff"/>
          </w:rPr>
          <w:t xml:space="preserve">пункте 3.2.3</w:t>
        </w:r>
      </w:hyperlink>
      <w:r>
        <w:rPr>
          <w:sz w:val="20"/>
        </w:rPr>
        <w:t xml:space="preserve"> настоящих Методических рекомендаций (накладные расходы, сметная прибыль, лимитированные затраты (в том числе зимнее удорожание, временные здания и сооружения, непредвиденные расходы).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Поскольку Размер предельной стоимости устанавливается на период не менее одного календарного года, при его определении рекомендуется учитывать уровень инфляции (изменение цены, как правило, в сторону удорожания) применительно к условиям, сложившимся в конкретном субъекте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связи с этим результат вычислений, указанных в </w:t>
      </w:r>
      <w:hyperlink w:history="0" w:anchor="P162" w:tooltip="3.4.3. К сумме прямых затрат рекомендуется производить начисление сметных нормативов, перечисленных в пункте 3.2.3 настоящих Методических рекомендаций (накладные расходы, сметная прибыль, лимитированные затраты (в том числе зимнее удорожание, временные здания и сооружения, непредвиденные расходы).">
        <w:r>
          <w:rPr>
            <w:sz w:val="20"/>
            <w:color w:val="0000ff"/>
          </w:rPr>
          <w:t xml:space="preserve">пункте 3.4.3</w:t>
        </w:r>
      </w:hyperlink>
      <w:r>
        <w:rPr>
          <w:sz w:val="20"/>
        </w:rPr>
        <w:t xml:space="preserve"> настоящих Методических рекомендаций, рекомендуется умножать на прогнозный индекс-дефлятор, утверждаемый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по отрасли "строительство" в соответствии с прогнозом социально-экономического развития Российской Федерации. При выборе размера прогнозного индекса-дефлятора рекомендуется учитывать два параметра: месяц определения Размера предельной стоимости и месяц предполагаемого окончания выполнения работ (принимается декабрь календарного года, для которого производится определение Размера предельной стоимости).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3.4.5. Рекомендуется завершать определение Размера предельной стоимости по одному виду работ для одного из объектов-представителей начислением налога на добавленную стоимость.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3.5. Выбор измерителей показателей Размера предельной стоимости (один вид работ одного объекта-представителя)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3.5.1. Для соответствующего объекта-представителя в соответствии с видом, составом работ и объемом, принятыми по проектной документации либо описи работ, рекомендуется формировать локальную ресурсную смету для выбранного объекта капитального ремонта. В случае расчета стоимости работ по нескольким объектам из полученных данных рекомендуется выбирать максимальное значение по каждому виду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3.5.2. При определении размера предельной стоимости в зависимости от вида работ в целях повышения точности такого определения приоритетным рекомендуется определять следующий принцип: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предельной стоимости ремонта внутридомовых инженерных систем водоснабжения, водоотведения, центрального отопления полученную сметную стоимость ремонтных работ в рублях рекомендуется разделить на протяженность (в погонных метрах) заменяемого трубопровода (целесообразно разделить подвал/чердак (магистрали) и стояки);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предельной стоимости ремонта внутридомовых инженерных систем электроснабжения полученную сметную стоимость ремонтных работ в рублях рекомендуется разделить на уборочную площадь мест общего пользования;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предельной стоимости ремонта подвальных помещений полученную сметную стоимость ремонтных работ в рублях рекомендуется разделить на площадь подвала;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предельной стоимости ремонта фундамента полученную сметную стоимость ремонтных работ в рублях рекомендуется разделить на единицу измерения основного показателя (скважины и иное);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предельной стоимости ремонта фасада полученную сметную стоимость ремонтных работ в рублях рекомендуется разделить на площадь фасада;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предельной стоимости иных отдельных конструктивных элементов и инженерного оборудования полученную сметную стоимость ремонтных работ в рублях рекомендуется разделить на единицу основного измеряемого показателя в расценке;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предельной стоимости ремонта крыши полученную сметную стоимость ремонтных работ в рублях рекомендуется разделить на общую площадь покрытия кровли в данном МКД;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определении предельной стоимости ремонта или замены лифтового оборудования локальные ресурсные сметы рекомендуется формировать на один лифт и группировать в зависимости от количества остановок. Кроме того, возможна дополнительная детализация размера предельной стоимости в зависимости от типа лифтовой шахты.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Натуральные показатели по объекту целесообразно принять на основании технического паспорта дома либо по фактически выполненным замерам.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невозможности проведения расчетов по вышеуказанному принципу, при определении предельной стоимости капитального ремонта внутридомовых инженерных систем, ремонта подвальных помещений, ремонта фундамента, ремонта фасада полученную сметную стоимость ремонтных работ в рублях расчет может быть произведен путем деления на общую площадь данного МКД, определенную на основании технического паспорта дома.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размера предельной стоимости видов услуг и (или) работ, установленных нормативным правовым актом субъекта Российской Федерации дополнительно к перечню видов услуг и (или) работ, определенных </w:t>
      </w:r>
      <w:hyperlink w:history="0" r:id="rId20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1 статьи 166</w:t>
        </w:r>
      </w:hyperlink>
      <w:r>
        <w:rPr>
          <w:sz w:val="20"/>
        </w:rPr>
        <w:t xml:space="preserve"> Жилищного кодекса Российской Федерации, рекомендуется производить с учетом оценки целесообразности приведения стоимости к одному квадратному метру общей площади данного МКД.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Стоимость работ по замене и (или) восстановлению несущих строительных конструкций многоквартирного дома и (или) инженерных сетей МКД рекомендуется определять в соответствии с разработанной проектной документацией.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3.5.3. При выборе измерителей рекомендуется применять общепринятые единицы измерения конструктивных элементов,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м, пог. м, км,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м3, 100 м3,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м2, 100 м2,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шт., 10 шт., 100 шт.,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другие измерители, наиболее полно отражающие специфику того или иного вида работ.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3.6. Формирование сводной таблицы Размеров предельной стоимости</w:t>
      </w:r>
    </w:p>
    <w:bookmarkStart w:id="190" w:name="P190"/>
    <w:bookmarkEnd w:id="1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3.6.1. Расчеты элементов Размера предельной стоимости в порядке, указанном в </w:t>
      </w:r>
      <w:hyperlink w:history="0" w:anchor="P154" w:tooltip="3.4. Формирование и актуализация стоимостного блока для расчета одного элемента Размера предельной стоимости капитального ремонта">
        <w:r>
          <w:rPr>
            <w:sz w:val="20"/>
            <w:color w:val="0000ff"/>
          </w:rPr>
          <w:t xml:space="preserve">пункте 3.4</w:t>
        </w:r>
      </w:hyperlink>
      <w:r>
        <w:rPr>
          <w:sz w:val="20"/>
        </w:rPr>
        <w:t xml:space="preserve"> настоящих Методических рекомендаций, рекомендуется проводить по всем видам услуг и (или) работ по капитальному ремонту общего имущества в МКД, предусмотренных </w:t>
      </w:r>
      <w:hyperlink w:history="0" r:id="rId21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1 статьи 166</w:t>
        </w:r>
      </w:hyperlink>
      <w:r>
        <w:rPr>
          <w:sz w:val="20"/>
        </w:rPr>
        <w:t xml:space="preserve"> Жилищного кодекса Российской Федерации, а также видам услуг и (или) работ, установленных нормативным правовым актом субъекта Российской Федерации дополнительно к перечню видов услуг и (или) работ по капитальному ремонту, предусмотренных </w:t>
      </w:r>
      <w:hyperlink w:history="0" r:id="rId22" w:tooltip="&quot;Жилищный кодекс Российской Федерации&quot; от 29.12.2004 N 188-ФЗ (ред. от 21.11.2022) {КонсультантПлюс}">
        <w:r>
          <w:rPr>
            <w:sz w:val="20"/>
            <w:color w:val="0000ff"/>
          </w:rPr>
          <w:t xml:space="preserve">частью 1 статьи 166</w:t>
        </w:r>
      </w:hyperlink>
      <w:r>
        <w:rPr>
          <w:sz w:val="20"/>
        </w:rPr>
        <w:t xml:space="preserve"> Жилищного кодекса Российской Федерации, для каждого из типов МКД, принятых субъектом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3.6.2. Результаты проведенных расчетов всех элементов Размера предельной стоимости рекомендуется формировать в табличном виде. Наименования столбцов таблицы могут содержать наименования объектов-представителей, наименования строк таблицы соответствовать наименованиям видов работ, указанных в </w:t>
      </w:r>
      <w:hyperlink w:history="0" w:anchor="P190" w:tooltip="3.6.1. Расчеты элементов Размера предельной стоимости в порядке, указанном в пункте 3.4 настоящих Методических рекомендаций, рекомендуется проводить по всем видам услуг и (или) работ по капитальному ремонту общего имущества в МКД, предусмотренных частью 1 статьи 166 Жилищного кодекса Российской Федерации, а также видам услуг и (или) работ, установленных нормативным правовым актом субъекта Российской Федерации дополнительно к перечню видов услуг и (или) работ по капитальному ремонту, предусмотренных часть...">
        <w:r>
          <w:rPr>
            <w:sz w:val="20"/>
            <w:color w:val="0000ff"/>
          </w:rPr>
          <w:t xml:space="preserve">пункте 3.6.1</w:t>
        </w:r>
      </w:hyperlink>
      <w:r>
        <w:rPr>
          <w:sz w:val="20"/>
        </w:rPr>
        <w:t xml:space="preserve"> настоящих Методических рекомендаций. Дополнительно в таблице может быть введена детализация на подвиды работ. Например, ремонт и (или) замена лифтового оборудования в зависимости от количества остановок и грузоподъемности лифта, ремонт фасада в зависимости от типа отделки фасада и иного.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3.6.3. Результаты проведенных расчетов всех элементов Размера предельной стоимости для МКД, являющихся объектами культурного наследия, рекомендуется формировать в табличном виде в отдельном разделе или приложении. При наличии на территории субъекта Российской Федерации МКД объектов культурного наследия, значительно различающихся по сложности архитектурного декора, для работ по ремонту фасадов рекомендуется вводить детализацию работ в зависимости от категорий сложности фасадов. Примерная типология МКД, являющихся объектами культурного наследия, в зависимости от категории сложности объектов определена </w:t>
      </w:r>
      <w:hyperlink w:history="0" w:anchor="P208" w:tooltip="ПРИМЕР">
        <w:r>
          <w:rPr>
            <w:sz w:val="20"/>
            <w:color w:val="0000ff"/>
          </w:rPr>
          <w:t xml:space="preserve">Приложением 1</w:t>
        </w:r>
      </w:hyperlink>
      <w:r>
        <w:rPr>
          <w:sz w:val="20"/>
        </w:rPr>
        <w:t xml:space="preserve"> к настоящим Методическим рекомендациям.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Методическим рекомендациям</w:t>
      </w:r>
    </w:p>
    <w:p>
      <w:pPr>
        <w:pStyle w:val="0"/>
        <w:jc w:val="right"/>
      </w:pPr>
      <w:r>
        <w:rPr>
          <w:sz w:val="20"/>
        </w:rPr>
        <w:t xml:space="preserve">по определению размера</w:t>
      </w:r>
    </w:p>
    <w:p>
      <w:pPr>
        <w:pStyle w:val="0"/>
        <w:jc w:val="right"/>
      </w:pPr>
      <w:r>
        <w:rPr>
          <w:sz w:val="20"/>
        </w:rPr>
        <w:t xml:space="preserve">предельной стоимости услуг</w:t>
      </w:r>
    </w:p>
    <w:p>
      <w:pPr>
        <w:pStyle w:val="0"/>
        <w:jc w:val="right"/>
      </w:pPr>
      <w:r>
        <w:rPr>
          <w:sz w:val="20"/>
        </w:rPr>
        <w:t xml:space="preserve">и (или) работ по капитальному</w:t>
      </w:r>
    </w:p>
    <w:p>
      <w:pPr>
        <w:pStyle w:val="0"/>
        <w:jc w:val="right"/>
      </w:pPr>
      <w:r>
        <w:rPr>
          <w:sz w:val="20"/>
        </w:rPr>
        <w:t xml:space="preserve">ремонту общего имущества</w:t>
      </w:r>
    </w:p>
    <w:p>
      <w:pPr>
        <w:pStyle w:val="0"/>
        <w:jc w:val="right"/>
      </w:pPr>
      <w:r>
        <w:rPr>
          <w:sz w:val="20"/>
        </w:rPr>
        <w:t xml:space="preserve">в многоквартирных домах,</w:t>
      </w:r>
    </w:p>
    <w:p>
      <w:pPr>
        <w:pStyle w:val="0"/>
        <w:jc w:val="right"/>
      </w:pPr>
      <w:r>
        <w:rPr>
          <w:sz w:val="20"/>
        </w:rPr>
        <w:t xml:space="preserve">в том числе являющихся</w:t>
      </w:r>
    </w:p>
    <w:p>
      <w:pPr>
        <w:pStyle w:val="0"/>
        <w:jc w:val="right"/>
      </w:pPr>
      <w:r>
        <w:rPr>
          <w:sz w:val="20"/>
        </w:rPr>
        <w:t xml:space="preserve">объектами культурного наследия</w:t>
      </w:r>
    </w:p>
    <w:p>
      <w:pPr>
        <w:pStyle w:val="0"/>
        <w:jc w:val="both"/>
      </w:pPr>
      <w:r>
        <w:rPr>
          <w:sz w:val="20"/>
        </w:rPr>
      </w:r>
    </w:p>
    <w:bookmarkStart w:id="208" w:name="P208"/>
    <w:bookmarkEnd w:id="208"/>
    <w:p>
      <w:pPr>
        <w:pStyle w:val="2"/>
        <w:jc w:val="center"/>
      </w:pPr>
      <w:r>
        <w:rPr>
          <w:sz w:val="20"/>
        </w:rPr>
        <w:t xml:space="preserve">ПРИМЕР</w:t>
      </w:r>
    </w:p>
    <w:p>
      <w:pPr>
        <w:pStyle w:val="2"/>
        <w:jc w:val="center"/>
      </w:pPr>
      <w:r>
        <w:rPr>
          <w:sz w:val="20"/>
        </w:rPr>
        <w:t xml:space="preserve">ВЫБОРА ОБЪЕКТОВ ПРЕДСТАВИТЕЛЕЙ, РАСПОЛОЖЕННЫХ НА ТЕРРИТОРИИ</w:t>
      </w:r>
    </w:p>
    <w:p>
      <w:pPr>
        <w:pStyle w:val="2"/>
        <w:jc w:val="center"/>
      </w:pPr>
      <w:r>
        <w:rPr>
          <w:sz w:val="20"/>
        </w:rPr>
        <w:t xml:space="preserve">СУБЪЕКТА РОССИЙСКОЙ ФЕДЕРАЦИИ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381"/>
        <w:gridCol w:w="6236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типа многоквартирных домов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Основные характеристики многоквартирных домов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23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дома типов "дореволюционной постройки, не прошедшие капитальный ремонт" и "дореволюционной постройки, прошедшие капитальный ремонт"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Фундаменты - ленточные бутовые на сложном или цементном растворе; стены - особо капитальные, каменные (кирпичные при толщине 3,5 - 4,5 кирпича) и крупноблочные на сложном или цементном растворе; 3 - 7 этажей; перегородки - шлакобетонные, бетонные, кирпичные оштукатуренные, деревянные оштукатуренные; перекрытия - железобетонные сборные и монолитные, с кирпичными сводами и бетонным заполнением по металлическим балкам, деревянные по металлическим балкам; крыши - стропила и обрешетка деревянные, утепляющие слои совмещенных бесчердачных крыш вентилируемых (невентилируемых) из керамзита или шлака; покрытия крыш (кровля) - из оцинкованной (неоцинкованной, крашеной) стали; наружная отделка фасадов - штукатурка по кирпичу раствором сложным, окраска по штукатурке (по бетону) составами известковыми, покрытия поясков, сандриков и подоконников из кровельной стали оцинкованной, облицовка естественным камнем, лепные детали цементные; системы ХВС, ГВС, канализации, электроснабжения - централизованные, разводящая сеть, стояки, внутриквартирная разводка, запорная арматура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дома типов "конструктивизм" постройки 1918 - 1930 гг.", "сталинские" постройки 1931 - 1956 гг.", "немецкие" постройки 1945 - 1948 гг." и "деревянные дома"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Фундаменты - ленточные бутовые на сложном или цементном растворе; стены - особо капитальные, каменные (кирпичные при толщине 3,5 - 4,5 кирпича) и крупноблочные на сложном или цементном растворе; 4 - 7 этажей; перегородки - шлакобетонные, бетонные, кирпичные оштукатуренные, деревянные; перекрытия железобетонные сборные и монолитные, с кирпичными сводами и бетонным заполнением по металлическим балкам; крыши - стропила и обрешетка деревянные, утепляющие слои чердачных крыш вентилируемых из керамзита или шлака; покрытия крыш (кровля) - из оцинкованной стали; наружная отделка фасадов - штукатурка по кирпичу раствором сложным, окраска по штукатурке (по бетону) составами известковыми, покрытия поясков, сандриков и подоконников из кровельной стали оцинкованной, облицовка естественным камнем, лепные детали цементные; системы ХВС, ГВС, канализации, электроснабжения - централизованные, разводящая сеть, стояки, внутриквартирная разводка, запорная арматура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дома типа "хрущевки" кирпичные постройки 1957 - 1970 гг."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Фундаменты - ленточные бетонные и железобетонные; стены - каменные обыкновенные (кирпичные при толщине 2,5 - 3,5 кирпича); 3 - 5 этажей; перегородки - гипсовые, гипсоволокнистые; перекрытия - железобетонные сборные и монолитные, с бетонным заполнением; крыша - стропила и обрешетка деревянные, покрытия крыш (кровля) - из оцинкованной стали; наружная отделка, в том числе фасадов - кирпичный фасад, окраска по кирпичу составами известковыми, покрытия поясков, сандриков и подоконников из кровельной стали оцинкованной; системы ХВС, ГВС, канализации, электроснабжения - централизованные, разводящая сеть, стояки, внутриквартирная разводка, запорная арматура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дома типа "хрущевки" панельные постройки 1957 - 1970 гг."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Фундаменты - ленточные бетонные и железобетонные; стены - крупнопанельные однослойные из легкого бетона; 5 этажей; перегородки - гипсовые, гипсоволокнистые; перекрытия - железобетонные сборные и монолитные, с бетонным заполнением; крыша - стропила и обрешетка из сборных железобетонных настилов, покрытия крыш (кровля) - из рулонных материалов (в 3 - 4 слоя); наружная отделка, в том числе фасадов - окраска по фактурному слою, облицовка ковровой плиткой, герметизированные стыки - панелей наружных стен мастиками отверждающимися, покрытия поясков, сандриков и подоконников из кровельной стали оцинкованной; системы ХВС, ГВС, канализации, электроснабжения - централизованные, разводящая сеть, стояки, внутриквартирная разводка, запорная арматура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дома типа "кирпичные постройки 1970 - 1980 гг."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Фундаменты - ленточные бетонные и железобетонные; стены - каменные обыкновенные (кирпичные при толщине 2,5 - 3,5 кирпича); 7 - 12 этажей; перегородки шлакобетонные, бетонные, кирпичные оштукатуренные; перекрытия железобетонные сборные и монолитные, с бетонным заполнением; крыша - стропила и обрешетка из сборных железобетонных настилов, покрытия крыш (кровля) - из рулонных материалов (в 3 - 4 слоя); наружная отделка, в том числе фасадов - кирпичный фасад, окраска по кирпичу составами известковыми, покрытия поясков, сандриков и подоконников из кровельной стали оцинкованной; системы ХВС, ГВС, канализации, электроснабжения - централизованные, разводящая сеть, стояки, внутриквартирная разводка, запорная арматура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дома типа "панельные постройки 1970 - 1980 гг."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Фундаменты - ленточные бетонные и железобетонные; стены - крупнопанельные однослойные из легкого бетона; 9 - 12 - 16 этажей; перегородки - шлакобетонные, бетонные, кирпичные оштукатуренные; перекрытия - железобетонные сборные и монолитные, с бетонным заполнением; крыша - стропила и обрешетка из сборных железобетонных настилов, покрытия крыш (кровля) - из рулонных материалов (в 3 - 4 слоя); наружная отделка, в том числе фасадов - окраска по фактурному слою, облицовка ковровой плиткой, герметизированные стыки - панелей наружных стен мастиками отверждающимися, покрытия поясков, сандриков и подоконников из кровельной стали оцинкованной; системы ХВС, ГВС, канализации, электроснабжения - централизованные, разводящая сеть, стояки, внутриквартирная разводка, запорная арматура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дома типа "кирпичные "новое строительство" постройки после 1980 г."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Фундаменты - ленточные бетонные и железобетонные, свайные; стены - каменные обыкновенные (кирпичные при толщине 2,5 - 3,5 кирпича); 9 - 12 - 16 и выше этажей; перегородки - гипсовые, гипсоволокнистые, шлакобетонные, бетонные, кирпичные оштукатуренные; перекрытия - железобетонные сборные и монолитные, с бетонным заполнением; крыша - стропила и обрешетка из сборных железобетонных настилов, покрытия крыш (кровля) - из рулонных материалов (в 3 - 4 слоя); наружная отделка, в том числе фасадов - кирпичный фасад, окраска по кирпичу составами известковыми, покрытия поясков, сандриков и подоконников из кровельной стали оцинкованной; системы ХВС, ГВС, канализации, электроснабжения - централизованные, разводящая сеть, стояки, внутриквартирная разводка, запорная арматура.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4.8. "Многоквартирные дома постройки после 1980 г. категории "Новое строительство, панельные"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0"/>
              </w:rPr>
              <w:t xml:space="preserve">Многоквартирные дома типа "панельные "новое строительство" постройки после 1980 г."</w:t>
            </w:r>
          </w:p>
        </w:tc>
        <w:tc>
          <w:tcPr>
            <w:tcW w:w="6236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Фундаменты - ленточные бетонные и железобетонные; стены - крупнопанельные однослойные из легкого бетона; 9 - 12 - 16 и выше этажей; перегородки - шлакобетонные, бетонные, кирпичные оштукатуренные; перекрытия железобетонные сборные и монолитные, с бетонным заполнением; крыша - стропила и обрешетка из сборных железобетонных настилов, покрытия крыш (кровля) - из рулонных материалов (в 3 - 4 слоя); наружная отделка, в том числе фасадов - окраска по фактурному слою, облицовка ковровой плиткой, герметизированные стыки - панелей наружных стен мастиками отверждающимися, покрытия поясков, сандриков и подоконников из кровельной стали оцинкованной; системы ХВС, ГВС, канализации, электроснабжения - централизованные, разводящая сеть, стояки, внутриквартирная разводка, запорная арматура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Методическим рекомендациям</w:t>
      </w:r>
    </w:p>
    <w:p>
      <w:pPr>
        <w:pStyle w:val="0"/>
        <w:jc w:val="right"/>
      </w:pPr>
      <w:r>
        <w:rPr>
          <w:sz w:val="20"/>
        </w:rPr>
        <w:t xml:space="preserve">по определению размера</w:t>
      </w:r>
    </w:p>
    <w:p>
      <w:pPr>
        <w:pStyle w:val="0"/>
        <w:jc w:val="right"/>
      </w:pPr>
      <w:r>
        <w:rPr>
          <w:sz w:val="20"/>
        </w:rPr>
        <w:t xml:space="preserve">предельной стоимости услуг</w:t>
      </w:r>
    </w:p>
    <w:p>
      <w:pPr>
        <w:pStyle w:val="0"/>
        <w:jc w:val="right"/>
      </w:pPr>
      <w:r>
        <w:rPr>
          <w:sz w:val="20"/>
        </w:rPr>
        <w:t xml:space="preserve">и (или) работ по капитальному</w:t>
      </w:r>
    </w:p>
    <w:p>
      <w:pPr>
        <w:pStyle w:val="0"/>
        <w:jc w:val="right"/>
      </w:pPr>
      <w:r>
        <w:rPr>
          <w:sz w:val="20"/>
        </w:rPr>
        <w:t xml:space="preserve">ремонту общего имущества</w:t>
      </w:r>
    </w:p>
    <w:p>
      <w:pPr>
        <w:pStyle w:val="0"/>
        <w:jc w:val="right"/>
      </w:pPr>
      <w:r>
        <w:rPr>
          <w:sz w:val="20"/>
        </w:rPr>
        <w:t xml:space="preserve">в многоквартирных домах,</w:t>
      </w:r>
    </w:p>
    <w:p>
      <w:pPr>
        <w:pStyle w:val="0"/>
        <w:jc w:val="right"/>
      </w:pPr>
      <w:r>
        <w:rPr>
          <w:sz w:val="20"/>
        </w:rPr>
        <w:t xml:space="preserve">в том числе являющихся</w:t>
      </w:r>
    </w:p>
    <w:p>
      <w:pPr>
        <w:pStyle w:val="0"/>
        <w:jc w:val="right"/>
      </w:pPr>
      <w:r>
        <w:rPr>
          <w:sz w:val="20"/>
        </w:rPr>
        <w:t xml:space="preserve">объектами культурного наследия</w:t>
      </w:r>
    </w:p>
    <w:p>
      <w:pPr>
        <w:pStyle w:val="0"/>
        <w:jc w:val="both"/>
      </w:pPr>
      <w:r>
        <w:rPr>
          <w:sz w:val="20"/>
        </w:rPr>
      </w:r>
    </w:p>
    <w:bookmarkStart w:id="258" w:name="P258"/>
    <w:bookmarkEnd w:id="258"/>
    <w:p>
      <w:pPr>
        <w:pStyle w:val="0"/>
        <w:jc w:val="center"/>
      </w:pPr>
      <w:r>
        <w:rPr>
          <w:sz w:val="20"/>
        </w:rPr>
        <w:t xml:space="preserve">ПРИМЕР ФОРМИРОВАНИЯ ЛОКАЛЬНОГО СМЕТНОГО РАСЧЕТА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191"/>
        <w:gridCol w:w="510"/>
        <w:gridCol w:w="2835"/>
        <w:gridCol w:w="1077"/>
        <w:gridCol w:w="737"/>
        <w:gridCol w:w="1361"/>
        <w:gridCol w:w="907"/>
        <w:gridCol w:w="1020"/>
        <w:gridCol w:w="907"/>
        <w:gridCol w:w="907"/>
        <w:gridCol w:w="964"/>
        <w:gridCol w:w="850"/>
        <w:gridCol w:w="850"/>
        <w:gridCol w:w="907"/>
      </w:tblGrid>
      <w:tr>
        <w:tblPrEx>
          <w:tblBorders>
            <w:insideH w:val="nil"/>
          </w:tblBorders>
        </w:tblPrEx>
        <w:tc>
          <w:tcPr>
            <w:gridSpan w:val="15"/>
            <w:tcW w:w="15533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Капитальный ремонт мест общего пользования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Замена окон в ценах 4 квартала 2016 года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553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Наименование объекта представителя: Многоквартирные дома типа "хрущевки" панельные постройки 1957 - 1970 гг.".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Общая площадь заменяемых окон 63,4 кв. м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553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Проектное решение: Замена существующих деревянных окон на пластиковые.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15"/>
            <w:tcW w:w="15533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Единица измерения: 100 кв. м оконных переплетов</w:t>
            </w:r>
          </w:p>
        </w:tc>
      </w:tr>
      <w:tr>
        <w:tblPrEx>
          <w:tblBorders>
            <w:insideV w:val="nil"/>
            <w:insideH w:val="nil"/>
          </w:tblBorders>
        </w:tblPrEx>
        <w:tc>
          <w:tcPr>
            <w:gridSpan w:val="2"/>
            <w:tcW w:w="1701" w:type="dxa"/>
            <w:tcBorders>
              <w:top w:val="nil"/>
              <w:lef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Состав работ:</w:t>
            </w:r>
          </w:p>
        </w:tc>
        <w:tc>
          <w:tcPr>
            <w:gridSpan w:val="13"/>
            <w:tcW w:w="13832" w:type="dxa"/>
            <w:tcBorders>
              <w:top w:val="nil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1. Снятие оконных переплетов остекленных</w:t>
            </w:r>
          </w:p>
          <w:p>
            <w:pPr>
              <w:pStyle w:val="0"/>
            </w:pPr>
            <w:r>
              <w:rPr>
                <w:sz w:val="20"/>
              </w:rPr>
              <w:t xml:space="preserve">2. Демонтаж оконных коробок</w:t>
            </w:r>
          </w:p>
          <w:p>
            <w:pPr>
              <w:pStyle w:val="0"/>
            </w:pPr>
            <w:r>
              <w:rPr>
                <w:sz w:val="20"/>
              </w:rPr>
              <w:t xml:space="preserve">3. Установка блоков оконных с переплетами</w:t>
            </w:r>
          </w:p>
        </w:tc>
      </w:tr>
      <w:tr>
        <w:tc>
          <w:tcPr>
            <w:tcW w:w="51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пп</w:t>
            </w:r>
          </w:p>
        </w:tc>
        <w:tc>
          <w:tcPr>
            <w:gridSpan w:val="2"/>
            <w:tcW w:w="170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Обоснование</w:t>
            </w:r>
          </w:p>
        </w:tc>
        <w:tc>
          <w:tcPr>
            <w:tcW w:w="2835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</w:t>
            </w:r>
          </w:p>
        </w:tc>
        <w:tc>
          <w:tcPr>
            <w:tcW w:w="107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Ед. изм.</w:t>
            </w:r>
          </w:p>
        </w:tc>
        <w:tc>
          <w:tcPr>
            <w:gridSpan w:val="2"/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Кол.</w:t>
            </w:r>
          </w:p>
        </w:tc>
        <w:tc>
          <w:tcPr>
            <w:gridSpan w:val="6"/>
            <w:tcW w:w="555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Сметная стоимость в текущих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Т/з осн. раб.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Т/з мех.</w:t>
            </w:r>
          </w:p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3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ед.</w:t>
            </w:r>
          </w:p>
        </w:tc>
        <w:tc>
          <w:tcPr>
            <w:tcW w:w="1361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</w:t>
            </w:r>
          </w:p>
        </w:tc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 ед.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общая</w:t>
            </w:r>
          </w:p>
        </w:tc>
        <w:tc>
          <w:tcPr>
            <w:gridSpan w:val="3"/>
            <w:tcW w:w="277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том числе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gridSpan w:val="2"/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Осн. З.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Эк. Ма.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З/п Ме.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Мат.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2"/>
            <w:tcW w:w="170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8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73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</w:tr>
      <w:tr>
        <w:tc>
          <w:tcPr>
            <w:gridSpan w:val="15"/>
            <w:tcW w:w="15533" w:type="dxa"/>
          </w:tcPr>
          <w:p>
            <w:pPr>
              <w:pStyle w:val="0"/>
            </w:pPr>
            <w:r>
              <w:rPr>
                <w:sz w:val="20"/>
              </w:rPr>
              <w:t xml:space="preserve">Раздел 1. Проемы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ГЭСНр56-2-2 </w:t>
            </w:r>
            <w:hyperlink w:history="0" r:id="rId25" w:tooltip="Приказ Минстроя России от 30.01.2014 N 31/пр (ред. от 07.02.2014) &quot;О введении в действие новых государственных сметных нормативов&quot;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Минстроя РФ от 30,01,14 N 31/пр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Снятие оконных переплетов остекленных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Оконных переплетов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0,634/03,4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4881,3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48,81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46,86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1,95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1,13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0,46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ГЭСНр56-1-1 </w:t>
            </w:r>
            <w:hyperlink w:history="0" r:id="rId26" w:tooltip="Приказ Минстроя России от 30.01.2014 N 31/пр (ред. от 07.02.2014) &quot;О введении в действие новых государственных сметных нормативов&quot; {КонсультантПлюс}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Минстроя РФ от 30,01,14 N 31/пр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Демонтаж оконных коробок в каменных стенах с отбивкой штукатурки в откосах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100 коробок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0,0,03943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0,26/03,4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14091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55,56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52,56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1,03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0,51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0,01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ГЭСН 10-01-027-03 </w:t>
            </w:r>
            <w:hyperlink w:history="0" r:id="rId27" w:tooltip="Ссылка на КонсультантПлюс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Минстроя РФ от 12,11,14 N 703/пр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в жилых и общественных зданиях блоков оконных с переплетами: раздельными (раздельно-спаренными) в стенах каменных площадью проема до 2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проемов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0,004282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0,2716/63,4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26DS05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1117,2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109,97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21,65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3,83</w:t>
            </w:r>
          </w:p>
        </w:tc>
        <w:tc>
          <w:tcPr>
            <w:tcW w:w="85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985,57</w:t>
            </w:r>
          </w:p>
        </w:tc>
        <w:tc>
          <w:tcPr>
            <w:tcW w:w="85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0,98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0,03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ГЭСН 10-01-027-04 </w:t>
            </w:r>
            <w:hyperlink w:history="0" r:id="rId28" w:tooltip="Ссылка на КонсультантПлюс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Минстроя РФ от 12,11,14 N 703/пр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в жилых и общественных зданиях блоков оконных с переплетами раздельными (раздельно-спаренными) в стенах каменных площадью греема более 2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проемов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0,005718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0,3625/63,4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280398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1603,3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99,02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22,6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3,63</w:t>
            </w:r>
          </w:p>
        </w:tc>
        <w:tc>
          <w:tcPr>
            <w:tcW w:w="85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1481,7</w:t>
            </w:r>
          </w:p>
        </w:tc>
        <w:tc>
          <w:tcPr>
            <w:tcW w:w="85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0,88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0,03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ГЭСН 10-01-034-01 </w:t>
            </w:r>
            <w:hyperlink w:history="0" r:id="rId29" w:tooltip="Ссылка на КонсультантПлюс">
              <w:r>
                <w:rPr>
                  <w:sz w:val="20"/>
                  <w:color w:val="0000ff"/>
                </w:rPr>
                <w:t xml:space="preserve">Приказ</w:t>
              </w:r>
            </w:hyperlink>
            <w:r>
              <w:rPr>
                <w:sz w:val="20"/>
              </w:rPr>
              <w:t xml:space="preserve"> Минстроя РФ от 12,11,14 N 703/пр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Установка в жилых и общественных зданиях оконных блоков из ПВХ профилей глухих с площадью проема до 2 м</w:t>
            </w:r>
            <w:r>
              <w:rPr>
                <w:sz w:val="20"/>
                <w:vertAlign w:val="superscript"/>
              </w:rPr>
              <w:t xml:space="preserve">2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100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 проемов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0,0003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0,019/53,4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56429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16,93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5,69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0,83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0,05</w:t>
            </w:r>
          </w:p>
        </w:tc>
        <w:tc>
          <w:tcPr>
            <w:tcW w:w="85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10,41</w:t>
            </w:r>
          </w:p>
        </w:tc>
        <w:tc>
          <w:tcPr>
            <w:tcW w:w="85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gridSpan w:val="2"/>
            <w:tcW w:w="1701" w:type="dxa"/>
          </w:tcPr>
          <w:p>
            <w:pPr>
              <w:pStyle w:val="0"/>
            </w:pPr>
            <w:r>
              <w:rPr>
                <w:sz w:val="20"/>
              </w:rPr>
              <w:t xml:space="preserve">СЦМ-101-0901</w:t>
            </w:r>
          </w:p>
        </w:tc>
        <w:tc>
          <w:tcPr>
            <w:tcW w:w="2835" w:type="dxa"/>
          </w:tcPr>
          <w:p>
            <w:pPr>
              <w:pStyle w:val="0"/>
            </w:pPr>
            <w:r>
              <w:rPr>
                <w:sz w:val="20"/>
              </w:rPr>
              <w:t xml:space="preserve">Скобяные изделия для оконных блоков с раздельными двойными переплетами жилых зданий двустворных (независимо от высоты)</w:t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  <w:t xml:space="preserve">Компл,</w:t>
            </w:r>
          </w:p>
        </w:tc>
        <w:tc>
          <w:tcPr>
            <w:tcW w:w="73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61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0,157729</w:t>
            </w:r>
          </w:p>
          <w:p>
            <w:pPr>
              <w:pStyle w:val="0"/>
              <w:jc w:val="right"/>
            </w:pPr>
            <w:r>
              <w:rPr>
                <w:sz w:val="20"/>
              </w:rPr>
              <w:t xml:space="preserve">10/63,4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62,09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9,79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9,79</w:t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1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прямые затраты по смете в текущее ценах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2851,6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314,1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50,03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9,68</w:t>
            </w:r>
          </w:p>
        </w:tc>
        <w:tc>
          <w:tcPr>
            <w:tcW w:w="85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2487,5</w:t>
            </w:r>
          </w:p>
        </w:tc>
        <w:tc>
          <w:tcPr>
            <w:tcW w:w="85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2,88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0,0S</w:t>
            </w:r>
          </w:p>
        </w:tc>
      </w:tr>
      <w:tr>
        <w:tc>
          <w:tcPr>
            <w:gridSpan w:val="8"/>
            <w:tcW w:w="91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прямые затраты по смете с учетом коэффициентов к итогам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2955,7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395,68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72,58</w:t>
            </w:r>
          </w:p>
        </w:tc>
        <w:tc>
          <w:tcPr>
            <w:tcW w:w="964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13,44</w:t>
            </w:r>
          </w:p>
        </w:tc>
        <w:tc>
          <w:tcPr>
            <w:tcW w:w="85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2487,5</w:t>
            </w:r>
          </w:p>
        </w:tc>
        <w:tc>
          <w:tcPr>
            <w:tcW w:w="85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3,6</w:t>
            </w:r>
          </w:p>
        </w:tc>
        <w:tc>
          <w:tcPr>
            <w:tcW w:w="907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0,11</w:t>
            </w:r>
          </w:p>
        </w:tc>
      </w:tr>
      <w:tr>
        <w:tc>
          <w:tcPr>
            <w:gridSpan w:val="8"/>
            <w:tcW w:w="9128" w:type="dxa"/>
          </w:tcPr>
          <w:p>
            <w:pPr>
              <w:pStyle w:val="0"/>
            </w:pPr>
            <w:r>
              <w:rPr>
                <w:sz w:val="20"/>
              </w:rPr>
              <w:t xml:space="preserve">Накладные расходы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347,9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128" w:type="dxa"/>
          </w:tcPr>
          <w:p>
            <w:pPr>
              <w:pStyle w:val="0"/>
            </w:pPr>
            <w:r>
              <w:rPr>
                <w:sz w:val="20"/>
              </w:rPr>
              <w:t xml:space="preserve">Сметная прибыль</w:t>
            </w:r>
          </w:p>
        </w:tc>
        <w:tc>
          <w:tcPr>
            <w:tcW w:w="1020" w:type="dxa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183,03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128" w:type="dxa"/>
          </w:tcPr>
          <w:p>
            <w:pPr>
              <w:pStyle w:val="0"/>
            </w:pPr>
            <w:r>
              <w:rPr>
                <w:sz w:val="20"/>
              </w:rPr>
              <w:t xml:space="preserve">Итоги по смете:</w:t>
            </w:r>
          </w:p>
        </w:tc>
        <w:tc>
          <w:tcPr>
            <w:tcW w:w="102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128" w:type="dxa"/>
          </w:tcPr>
          <w:p>
            <w:pPr>
              <w:pStyle w:val="0"/>
            </w:pPr>
            <w:r>
              <w:rPr>
                <w:sz w:val="20"/>
              </w:rPr>
              <w:t xml:space="preserve">Непредвиденные затраты 2%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69,73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128" w:type="dxa"/>
          </w:tcPr>
          <w:p>
            <w:pPr>
              <w:pStyle w:val="0"/>
            </w:pPr>
            <w:r>
              <w:rPr>
                <w:sz w:val="20"/>
              </w:rPr>
              <w:t xml:space="preserve">Итого с непредвиденными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3556,4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128" w:type="dxa"/>
          </w:tcPr>
          <w:p>
            <w:pPr>
              <w:pStyle w:val="0"/>
            </w:pPr>
            <w:r>
              <w:rPr>
                <w:sz w:val="20"/>
              </w:rPr>
              <w:t xml:space="preserve">НДС 18%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640,15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8"/>
            <w:tcW w:w="9128" w:type="dxa"/>
          </w:tcPr>
          <w:p>
            <w:pPr>
              <w:pStyle w:val="0"/>
            </w:pPr>
            <w:r>
              <w:rPr>
                <w:sz w:val="20"/>
              </w:rPr>
              <w:t xml:space="preserve">ВСЕГО по смете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4196,5</w:t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3,6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0,11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3"/>
      <w:headerReference w:type="first" r:id="rId23"/>
      <w:footerReference w:type="default" r:id="rId24"/>
      <w:footerReference w:type="first" r:id="rId24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07.09.2017 N 1202/пр</w:t>
            <w:br/>
            <w:t>(ред. от 20.12.2022)</w:t>
            <w:br/>
            <w:t>"Об утверждении методических рекомендаций по определ...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07.09.2017 N 1202/пр</w:t>
            <w:br/>
            <w:t>(ред. от 20.12.2022)</w:t>
            <w:br/>
            <w:t>"Об утверждении методических рекомендаций по определ...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13.02.2023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0DF5E389F329CF02B3406EE93031F09D47165100E9DA841736AC47CC478F19CED79EDBF2951CF2E1A948C04F87FAC4DCE7EEF2C8F74A878DLFNED" TargetMode = "External"/>
	<Relationship Id="rId8" Type="http://schemas.openxmlformats.org/officeDocument/2006/relationships/hyperlink" Target="consultantplus://offline/ref=0DF5E389F329CF02B3406EE93031F09D47165708EEDB841736AC47CC478F19CED79EDBF2951DF4E2AA48C04F87FAC4DCE7EEF2C8F74A878DLFNED" TargetMode = "External"/>
	<Relationship Id="rId9" Type="http://schemas.openxmlformats.org/officeDocument/2006/relationships/hyperlink" Target="consultantplus://offline/ref=0DF5E389F329CF02B3406EE93031F09D47165100E9DA841736AC47CC478F19CED79EDBF2951CF2E1A948C04F87FAC4DCE7EEF2C8F74A878DLFNED" TargetMode = "External"/>
	<Relationship Id="rId10" Type="http://schemas.openxmlformats.org/officeDocument/2006/relationships/hyperlink" Target="consultantplus://offline/ref=0DF5E389F329CF02B3406EE93031F09D47165708EEDB841736AC47CC478F19CED79EDBF7941CF9B5FD07C113C2ACD7DDE6EEF0CAEBL4NBD" TargetMode = "External"/>
	<Relationship Id="rId11" Type="http://schemas.openxmlformats.org/officeDocument/2006/relationships/hyperlink" Target="consultantplus://offline/ref=0DF5E389F329CF02B3406FE73031F09D40135305E28DD31567F949C94FDF43DEC1D7D7F08B1CF0FFAE4396L1NDD" TargetMode = "External"/>
	<Relationship Id="rId12" Type="http://schemas.openxmlformats.org/officeDocument/2006/relationships/hyperlink" Target="consultantplus://offline/ref=0DF5E389F329CF02B3406EE93031F09D47165708EEDB841736AC47CC478F19CED79EDBF2951DF0E0AC48C04F87FAC4DCE7EEF2C8F74A878DLFNED" TargetMode = "External"/>
	<Relationship Id="rId13" Type="http://schemas.openxmlformats.org/officeDocument/2006/relationships/hyperlink" Target="consultantplus://offline/ref=0DF5E389F329CF02B3406EE93031F09D47165100E9DA841736AC47CC478F19CED79EDBF2951CF2E1A948C04F87FAC4DCE7EEF2C8F74A878DLFNED" TargetMode = "External"/>
	<Relationship Id="rId14" Type="http://schemas.openxmlformats.org/officeDocument/2006/relationships/hyperlink" Target="consultantplus://offline/ref=0DF5E389F329CF02B3406EE93031F09D47165708EEDB841736AC47CC478F19CED79EDBF2951DF0E0AC48C04F87FAC4DCE7EEF2C8F74A878DLFNED" TargetMode = "External"/>
	<Relationship Id="rId15" Type="http://schemas.openxmlformats.org/officeDocument/2006/relationships/hyperlink" Target="consultantplus://offline/ref=0DF5E389F329CF02B3406EE93031F09D47165708EEDB841736AC47CC478F19CED79EDBF19519F9B5FD07C113C2ACD7DDE6EEF0CAEBL4NBD" TargetMode = "External"/>
	<Relationship Id="rId16" Type="http://schemas.openxmlformats.org/officeDocument/2006/relationships/hyperlink" Target="consultantplus://offline/ref=0DF5E389F329CF02B3406EE93031F09D47165708EEDB841736AC47CC478F19CED79EDBF1971CF9B5FD07C113C2ACD7DDE6EEF0CAEBL4NBD" TargetMode = "External"/>
	<Relationship Id="rId17" Type="http://schemas.openxmlformats.org/officeDocument/2006/relationships/hyperlink" Target="consultantplus://offline/ref=0DF5E389F329CF02B3406EE93031F09D47165607EAD3841736AC47CC478F19CED79EDBF2951DFAE9AA48C04F87FAC4DCE7EEF2C8F74A878DLFNED" TargetMode = "External"/>
	<Relationship Id="rId18" Type="http://schemas.openxmlformats.org/officeDocument/2006/relationships/hyperlink" Target="consultantplus://offline/ref=0DF5E389F329CF02B3406EE93031F09D47165607EAD3841736AC47CC478F19CED79EDBF1951DF3EAF812D04BCEAECAC3E4F2ECC8E94AL8N4D" TargetMode = "External"/>
	<Relationship Id="rId19" Type="http://schemas.openxmlformats.org/officeDocument/2006/relationships/image" Target="media/image2.wmf"/>
	<Relationship Id="rId20" Type="http://schemas.openxmlformats.org/officeDocument/2006/relationships/hyperlink" Target="consultantplus://offline/ref=0DF5E389F329CF02B3406EE93031F09D47165708EEDB841736AC47CC478F19CED79EDBF2951DF0E0AC48C04F87FAC4DCE7EEF2C8F74A878DLFNED" TargetMode = "External"/>
	<Relationship Id="rId21" Type="http://schemas.openxmlformats.org/officeDocument/2006/relationships/hyperlink" Target="consultantplus://offline/ref=0DF5E389F329CF02B3406EE93031F09D47165708EEDB841736AC47CC478F19CED79EDBF2951DF0E0AC48C04F87FAC4DCE7EEF2C8F74A878DLFNED" TargetMode = "External"/>
	<Relationship Id="rId22" Type="http://schemas.openxmlformats.org/officeDocument/2006/relationships/hyperlink" Target="consultantplus://offline/ref=0DF5E389F329CF02B3406EE93031F09D47165708EEDB841736AC47CC478F19CED79EDBF2951DF0E0AC48C04F87FAC4DCE7EEF2C8F74A878DLFNED" TargetMode = "External"/>
	<Relationship Id="rId23" Type="http://schemas.openxmlformats.org/officeDocument/2006/relationships/header" Target="header2.xml"/>
	<Relationship Id="rId24" Type="http://schemas.openxmlformats.org/officeDocument/2006/relationships/footer" Target="footer2.xml"/>
	<Relationship Id="rId25" Type="http://schemas.openxmlformats.org/officeDocument/2006/relationships/hyperlink" Target="consultantplus://offline/ref=0DF5E389F329CF02B3406FE73031F09D42125706EFD0D91D3EF54BCE408046CBD08FDBF29602F2E3B241941CLCN0D" TargetMode = "External"/>
	<Relationship Id="rId26" Type="http://schemas.openxmlformats.org/officeDocument/2006/relationships/hyperlink" Target="consultantplus://offline/ref=0DF5E389F329CF02B3406FE73031F09D42125706EFD0D91D3EF54BCE408046CBD08FDBF29602F2E3B241941CLCN0D" TargetMode = "External"/>
	<Relationship Id="rId27" Type="http://schemas.openxmlformats.org/officeDocument/2006/relationships/hyperlink" Target="consultantplus://offline/ref=0DF5E389F329CF02B34079EB3231F09D45155306ECDC841736AC47CC478F19CEC59E83FE941FECE1AE5D961EC1LANCD" TargetMode = "External"/>
	<Relationship Id="rId28" Type="http://schemas.openxmlformats.org/officeDocument/2006/relationships/hyperlink" Target="consultantplus://offline/ref=0DF5E389F329CF02B34079EB3231F09D45155306ECDC841736AC47CC478F19CEC59E83FE941FECE1AE5D961EC1LANCD" TargetMode = "External"/>
	<Relationship Id="rId29" Type="http://schemas.openxmlformats.org/officeDocument/2006/relationships/hyperlink" Target="consultantplus://offline/ref=0DF5E389F329CF02B34079EB3231F09D45155306ECDC841736AC47CC478F19CEC59E83FE941FECE1AE5D961EC1LANCD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07.09.2017 N 1202/пр
(ред. от 20.12.2022)
"Об утверждении методических рекомендаций по определению размера предельной стоимости услуг и (или) работ по капитальному ремонту общего имущества в многоквартирных домах, в том числе являющихся объектами культурного наследия"</dc:title>
  <dcterms:created xsi:type="dcterms:W3CDTF">2023-02-13T03:13:11Z</dcterms:created>
</cp:coreProperties>
</file>